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112-02/24-01/45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2181-1-266-06-24-10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19. prosinca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2024.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1009791" cy="1009791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9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 xml:space="preserve">Na temelju članka 107. stavka 9. Zakona o odgoju i obrazovanju u osnovnoj i srednjoj školi  (Narodne novine broj 87/08, 86/09, 92/10, 105/10, 90/11, 16/12, 86/12, 94/13, 152/14, 7/17, 68/18, 98/19, 64/20</w:t>
      </w:r>
      <w:r>
        <w:rPr>
          <w:rFonts w:cstheme="minorHAnsi"/>
          <w:sz w:val="22"/>
        </w:rPr>
        <w:t xml:space="preserve">, </w:t>
      </w:r>
      <w:r>
        <w:rPr>
          <w:rFonts w:cstheme="minorHAnsi"/>
          <w:sz w:val="22"/>
        </w:rPr>
        <w:t xml:space="preserve">151/22</w:t>
      </w:r>
      <w:r>
        <w:rPr>
          <w:rFonts w:cstheme="minorHAnsi"/>
          <w:sz w:val="22"/>
        </w:rPr>
        <w:t xml:space="preserve"> i 156/23</w:t>
      </w:r>
      <w:r>
        <w:rPr>
          <w:rFonts w:cstheme="minorHAnsi"/>
          <w:sz w:val="22"/>
        </w:rPr>
        <w:t xml:space="preserve">), članaka 14. i 15. Pravilnika o postupku zapošljavanja te procjeni i vrednovanju kandidata za zapošljavanje Povjerenstvo za procjenu i vrednovanje kandidata za zapošljavanje donosi:</w:t>
      </w:r>
    </w:p>
    <w:p>
      <w:pPr>
        <w:pStyle w:val="Normal1"/>
        <w:spacing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pStyle w:val="Normal1"/>
        <w:spacing/>
        <w:jc w:val="center"/>
        <w:rPr>
          <w:rFonts w:asciiTheme="majorHAnsi" w:hAnsiTheme="majorHAnsi" w:eastAsia="Calibri" w:cstheme="majorHAnsi"/>
          <w:b/>
          <w:i/>
          <w:sz w:val="22"/>
          <w:szCs w:val="22"/>
        </w:rPr>
      </w:pPr>
      <w:r>
        <w:rPr>
          <w:rFonts w:asciiTheme="majorHAnsi" w:hAnsiTheme="majorHAnsi" w:eastAsia="Calibri" w:cstheme="majorHAnsi"/>
          <w:b/>
          <w:i/>
          <w:sz w:val="22"/>
          <w:szCs w:val="22"/>
        </w:rPr>
        <w:t xml:space="preserve">ODLUKU</w:t>
      </w:r>
    </w:p>
    <w:p>
      <w:pPr>
        <w:pStyle w:val="Normal1"/>
        <w:spacing/>
        <w:jc w:val="center"/>
        <w:rPr>
          <w:rFonts w:asciiTheme="majorHAnsi" w:hAnsiTheme="majorHAnsi" w:eastAsia="Calibri" w:cstheme="majorHAnsi"/>
          <w:b/>
          <w:i/>
          <w:sz w:val="22"/>
          <w:szCs w:val="22"/>
        </w:rPr>
      </w:pPr>
      <w:r>
        <w:rPr>
          <w:rFonts w:asciiTheme="majorHAnsi" w:hAnsiTheme="majorHAnsi" w:eastAsia="Calibri" w:cstheme="majorHAnsi"/>
          <w:b/>
          <w:i/>
          <w:sz w:val="22"/>
          <w:szCs w:val="22"/>
        </w:rPr>
        <w:t xml:space="preserve">o načinu procjene odnosno testiranja kandidata prijavljenih na natječaj </w:t>
      </w:r>
    </w:p>
    <w:p>
      <w:pPr>
        <w:pStyle w:val="Normal1"/>
        <w:spacing/>
        <w:jc w:val="center"/>
        <w:rPr>
          <w:rFonts w:asciiTheme="majorHAnsi" w:hAnsiTheme="majorHAnsi" w:eastAsia="Calibri" w:cstheme="majorHAnsi"/>
          <w:sz w:val="22"/>
          <w:szCs w:val="22"/>
        </w:rPr>
      </w:pPr>
    </w:p>
    <w:p>
      <w:pPr>
        <w:pStyle w:val="Normal1"/>
        <w:spacing/>
        <w:jc w:val="center"/>
        <w:rPr>
          <w:rFonts w:asciiTheme="majorHAnsi" w:hAnsiTheme="majorHAnsi" w:eastAsia="Calibri" w:cstheme="majorHAnsi"/>
          <w:sz w:val="22"/>
          <w:szCs w:val="22"/>
        </w:rPr>
      </w:pPr>
      <w:r>
        <w:rPr>
          <w:rFonts w:asciiTheme="majorHAnsi" w:hAnsiTheme="majorHAnsi" w:eastAsia="Calibri" w:cstheme="majorHAnsi"/>
          <w:sz w:val="22"/>
          <w:szCs w:val="22"/>
        </w:rPr>
        <w:t xml:space="preserve">I.</w:t>
      </w:r>
    </w:p>
    <w:p>
      <w:pPr>
        <w:pStyle w:val="Normal1"/>
        <w:spacing/>
        <w:jc w:val="both"/>
        <w:rPr>
          <w:rFonts w:asciiTheme="majorHAnsi" w:hAnsiTheme="majorHAnsi" w:eastAsia="Calibr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sz w:val="22"/>
          <w:szCs w:val="22"/>
        </w:rPr>
        <w:t xml:space="preserve">Za natječaj objavljen dana </w:t>
      </w:r>
      <w:r>
        <w:rPr>
          <w:rFonts w:asciiTheme="majorHAnsi" w:hAnsiTheme="majorHAnsi" w:eastAsia="Calibri" w:cstheme="majorHAnsi"/>
          <w:sz w:val="22"/>
          <w:szCs w:val="22"/>
        </w:rPr>
        <w:t xml:space="preserve">11. prosinca</w:t>
      </w:r>
      <w:r>
        <w:rPr>
          <w:rFonts w:asciiTheme="majorHAnsi" w:hAnsiTheme="majorHAnsi" w:eastAsia="Calibri" w:cstheme="majorHAnsi"/>
          <w:sz w:val="22"/>
          <w:szCs w:val="22"/>
        </w:rPr>
        <w:t xml:space="preserve"> 2024. godine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na mrežnim stranicama i oglasnim pločama Hrvatskog zavoda za zapošljavanje te mrežnim</w:t>
      </w:r>
      <w:r>
        <w:rPr>
          <w:rFonts w:asciiTheme="majorHAnsi" w:hAnsiTheme="majorHAnsi" w:eastAsia="Calibri" w:cstheme="majorHAnsi"/>
          <w:sz w:val="22"/>
          <w:szCs w:val="22"/>
        </w:rPr>
        <w:t xml:space="preserve"> stranicama i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oglasnoj ploči</w:t>
      </w:r>
      <w:r>
        <w:rPr>
          <w:rFonts w:asciiTheme="majorHAnsi" w:hAnsiTheme="majorHAnsi" w:eastAsia="Calibri" w:cstheme="majorHAnsi"/>
          <w:i/>
          <w:color w:val="00B0F0"/>
          <w:sz w:val="22"/>
          <w:szCs w:val="22"/>
        </w:rPr>
        <w:t xml:space="preserve">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Osnovne škole Žrnovnica </w:t>
      </w:r>
      <w:r>
        <w:rPr>
          <w:rFonts w:asciiTheme="majorHAnsi" w:hAnsiTheme="majorHAnsi" w:eastAsia="Calibri" w:cstheme="majorHAnsi"/>
          <w:sz w:val="22"/>
          <w:szCs w:val="22"/>
        </w:rPr>
        <w:t xml:space="preserve">za radno</w:t>
      </w:r>
      <w:r>
        <w:rPr>
          <w:rFonts w:asciiTheme="majorHAnsi" w:hAnsiTheme="majorHAnsi" w:eastAsia="Calibri" w:cstheme="majorHAnsi"/>
          <w:color w:val="00B0F0"/>
          <w:sz w:val="22"/>
          <w:szCs w:val="22"/>
        </w:rPr>
        <w:t xml:space="preserve">  </w:t>
      </w:r>
      <w:r>
        <w:rPr>
          <w:rFonts w:asciiTheme="majorHAnsi" w:hAnsiTheme="majorHAnsi" w:eastAsia="Calibri" w:cstheme="majorHAnsi"/>
          <w:sz w:val="22"/>
          <w:szCs w:val="22"/>
        </w:rPr>
        <w:t xml:space="preserve">mjesto:</w:t>
      </w:r>
    </w:p>
    <w:p>
      <w:pPr>
        <w:pStyle w:val="Bezproreda1"/>
        <w:numPr>
          <w:ilvl w:val="0"/>
          <w:numId w:val="1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Učitelj koji obavlja poslove učitelja matematike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 – 1 izvršitelj/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ica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 na neodređeno 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ne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puno 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(16/40) </w:t>
      </w:r>
      <w:r>
        <w:rPr>
          <w:rFonts w:asciiTheme="majorHAnsi" w:hAnsiTheme="majorHAnsi" w:cstheme="majorHAnsi"/>
          <w:bCs/>
          <w:sz w:val="22"/>
          <w:szCs w:val="22"/>
          <w:lang w:eastAsia="hr-HR"/>
        </w:rPr>
        <w:t xml:space="preserve">radno vrijeme </w:t>
      </w:r>
      <w:r>
        <w:rPr>
          <w:rFonts w:asciiTheme="majorHAnsi" w:hAnsiTheme="majorHAnsi" w:cstheme="majorHAnsi"/>
          <w:sz w:val="22"/>
          <w:szCs w:val="22"/>
        </w:rPr>
        <w:t xml:space="preserve">utvrđuje se sljedeći način procjene odnosno testiranja kandidata: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Theme="majorHAnsi" w:hAnsiTheme="majorHAnsi" w:eastAsia="Calibr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procjena odnosno testiranje i vrednovanje kandidata obavit će se pismeno iz poznavanja propisa koji se odnose na djelatnost osnovnog obrazovanja i to iz sljedećih propisa: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Ustav Republike Hrvatske (Narodne novine, broj: 56/90, 135/97, 08/98, 113/00, 124/00, 28/01, 41/01, 55/01, 76/10, 85/10, 05/14)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Zakon o odgoju i obrazovanju u osnovnoj i srednjoj školi (Narodne novine, broj: 87/08., 86/09., 92/10., 105/10.-ispr, 90/11., 5/12., 16/12., 86/12., 126/12., 94/13., 136/14.-RUSRH, 152/14.,</w:t>
      </w:r>
      <w:r>
        <w:rPr>
          <w:rFonts w:asciiTheme="majorHAnsi" w:hAnsiTheme="majorHAnsi" w:eastAsia="Calibri" w:cstheme="majorHAnsi"/>
          <w:b/>
          <w:color w:val="000000"/>
          <w:sz w:val="22"/>
          <w:szCs w:val="22"/>
        </w:rPr>
        <w:t xml:space="preserve"> </w:t>
      </w: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7/17., 68/18., 98/19, 64/20, 151/22. i 156/23.)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eastAsia="Calibri" w:cstheme="majorHAnsi"/>
          <w:color w:val="000000"/>
          <w:sz w:val="22"/>
          <w:szCs w:val="22"/>
        </w:rPr>
        <w:t xml:space="preserve">Pravilnik o načinima, postupcima i elementima vrednovanja učenika u osnovnoj i srednjoj školi (Narodne novine, broj: 112/10., 82/19., 43/20 i 100/21)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Pravilnik o osnovnoškolskom i srednjoškolskom odgoju i obrazovanju učenika s teškoćama u razvoju (Narodne novine broj: 24/15.)</w:t>
      </w:r>
    </w:p>
    <w:p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Pravilnik o kriterijima za izricanje pedagoških mjera (Narodne novine broj: 94/15. i 3/17.).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rPr>
          <w:rFonts w:ascii="Calibri" w:hAnsi="Calibri" w:eastAsia="Calibri" w:cs="Calibri"/>
          <w:color w:val="000000"/>
        </w:rPr>
      </w:pP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II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Povjerenstvo za procjenu i vrednovanje kandidata za zapošljavanje će najmanje pet dana prije dana određenog za procjenu odnosno testiranje poziv na procjenu odnosno testiranje objaviti na mrežnoj </w:t>
      </w:r>
      <w:r>
        <w:rPr>
          <w:rFonts w:ascii="Calibri" w:hAnsi="Calibri" w:eastAsia="Calibri" w:cs="Calibri"/>
          <w:color w:val="000000"/>
          <w:sz w:val="22"/>
          <w:szCs w:val="22"/>
        </w:rPr>
        <w:t xml:space="preserve">stranici Osnovne škole Žrnovnica te ga elektroničkim putem dostaviti</w:t>
      </w:r>
      <w:r>
        <w:rPr>
          <w:rFonts w:ascii="Calibri" w:hAnsi="Calibri" w:eastAsia="Calibri" w:cs="Calibri"/>
          <w:color w:val="000000"/>
        </w:rPr>
        <w:t xml:space="preserve"> svim kandidatima koji su pravodobno dostavili potpunu prijavu sa svim prilozima odnosno ispravama i koji ispunjavaju uvjete natječaja.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</w:rPr>
      </w:pP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III.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Ova Odluka stupa na snagu danom donošenja.</w:t>
      </w:r>
    </w:p>
    <w:p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jc w:val="both"/>
        <w:rPr>
          <w:rFonts w:ascii="Calibri" w:hAnsi="Calibri" w:eastAsia="Calibri" w:cs="Calibri"/>
          <w:color w:val="000000"/>
        </w:rPr>
      </w:pPr>
    </w:p>
    <w:p>
      <w:pPr>
        <w:pStyle w:val="Default"/>
        <w:spacing/>
        <w:jc w:val="center"/>
        <w:rPr>
          <w:rFonts w:eastAsiaTheme="minorHAnsi"/>
          <w:sz w:val="22"/>
          <w:szCs w:val="22"/>
        </w:rPr>
      </w:pPr>
    </w:p>
    <w:p>
      <w:pPr>
        <w:pStyle w:val="Default"/>
        <w:spacing/>
        <w:jc w:val="center"/>
        <w:rPr>
          <w:rFonts w:eastAsiaTheme="minorHAnsi"/>
          <w:sz w:val="22"/>
          <w:szCs w:val="22"/>
        </w:rPr>
      </w:pPr>
    </w:p>
    <w:p>
      <w:pPr>
        <w:pStyle w:val="Default"/>
        <w:spacing/>
        <w:jc w:val="center"/>
        <w:rPr>
          <w:rFonts w:eastAsiaTheme="minorHAnsi"/>
          <w:sz w:val="22"/>
          <w:szCs w:val="22"/>
        </w:rPr>
      </w:pPr>
    </w:p>
    <w:p>
      <w:pPr>
        <w:pStyle w:val="Default"/>
        <w:spacing/>
        <w:jc w:val="center"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 xml:space="preserve">                                           Predsjednica Povjerenstva</w:t>
      </w:r>
    </w:p>
    <w:p>
      <w:pPr>
        <w:pStyle w:val="Default"/>
        <w:spacing/>
        <w:jc w:val="center"/>
        <w:rPr>
          <w:rFonts w:asciiTheme="minorHAnsi" w:hAnsiTheme="minorHAnsi" w:eastAsiaTheme="minorHAnsi" w:cstheme="minorHAnsi"/>
          <w:sz w:val="22"/>
          <w:szCs w:val="22"/>
        </w:rPr>
      </w:pPr>
    </w:p>
    <w:p>
      <w:pPr>
        <w:pStyle w:val="Default"/>
        <w:spacing/>
        <w:jc w:val="center"/>
        <w:rPr>
          <w:rFonts w:asciiTheme="minorHAnsi" w:hAnsiTheme="minorHAnsi" w:eastAsiaTheme="minorHAnsi" w:cstheme="minorHAnsi"/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eastAsiaTheme="minorHAnsi" w:cstheme="minorHAnsi"/>
          <w:sz w:val="22"/>
          <w:szCs w:val="22"/>
        </w:rPr>
        <w:t xml:space="preserve">Ani Korčulanin Aljinović</w:t>
      </w:r>
      <w:bookmarkStart w:id="2" w:name="_GoBack"/>
      <w:bookmarkEnd w:id="2"/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sz w:val="24"/>
      <w:szCs w:val="24"/>
    </w:rPr>
  </w:style>
  <w:style w:type="character" w:styleId="BezproredaChar" w:customStyle="1">
    <w:name w:val="Bez proreda Char"/>
    <w:basedOn w:val="Zadanifontodlomka"/>
    <w:link w:val="NoSpacing"/>
    <w:uiPriority w:val="1"/>
    <w:rPr>
      <w:sz w:val="24"/>
      <w:szCs w:val="24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rFonts w:ascii="Calibri" w:hAnsi="Calibri" w:eastAsia="Calibri" w:cs="Times New Roman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457</Words>
  <Characters>2607</Characters>
  <Application>Microsoft Office Word</Application>
  <DocSecurity>0</DocSecurity>
  <Lines>21</Lines>
  <Paragraphs>6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3</cp:revision>
  <dcterms:created xsi:type="dcterms:W3CDTF">2024-12-19T20:58:00Z</dcterms:created>
  <dcterms:modified xsi:type="dcterms:W3CDTF">2024-12-19T21:10:00Z</dcterms:modified>
</cp:coreProperties>
</file>