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12. lipnja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izboru kandidata - natječaj za radno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mjesto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pomoćnik n nastavi na određeno nepuno (24/40) radno vrijeme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– 1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izvršitelj/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pomoćnik/</w:t>
      </w:r>
      <w:r>
        <w:rPr>
          <w:rFonts w:cstheme="minorHAnsi"/>
          <w:sz w:val="21"/>
          <w:szCs w:val="21"/>
        </w:rPr>
        <w:t xml:space="preserve">ca</w:t>
      </w:r>
      <w:r>
        <w:rPr>
          <w:rFonts w:cstheme="minorHAnsi"/>
          <w:sz w:val="21"/>
          <w:szCs w:val="21"/>
        </w:rPr>
        <w:t xml:space="preserve"> u nastavi na </w:t>
      </w:r>
      <w:r>
        <w:rPr>
          <w:rFonts w:cstheme="minorHAnsi"/>
          <w:sz w:val="21"/>
          <w:szCs w:val="21"/>
        </w:rPr>
        <w:t xml:space="preserve">određeno nepuno (2</w:t>
      </w:r>
      <w:r>
        <w:rPr>
          <w:rFonts w:cstheme="minorHAnsi"/>
          <w:sz w:val="21"/>
          <w:szCs w:val="21"/>
        </w:rPr>
        <w:t xml:space="preserve">4</w:t>
      </w:r>
      <w:r>
        <w:rPr>
          <w:rFonts w:cstheme="minorHAnsi"/>
          <w:sz w:val="21"/>
          <w:szCs w:val="21"/>
        </w:rPr>
        <w:t xml:space="preserve">/40) radno vrijeme</w:t>
      </w:r>
      <w:r>
        <w:rPr>
          <w:rFonts w:cstheme="minorHAnsi"/>
          <w:sz w:val="21"/>
          <w:szCs w:val="21"/>
        </w:rPr>
        <w:t xml:space="preserve">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ica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22. svibnja</w:t>
      </w:r>
      <w:r>
        <w:rPr>
          <w:rFonts w:cstheme="minorHAnsi"/>
          <w:sz w:val="21"/>
          <w:szCs w:val="21"/>
        </w:rPr>
        <w:t xml:space="preserve"> 2025.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je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Ivana </w:t>
      </w:r>
      <w:r>
        <w:rPr>
          <w:rFonts w:cstheme="minorHAnsi"/>
          <w:sz w:val="21"/>
          <w:szCs w:val="21"/>
        </w:rPr>
        <w:t xml:space="preserve">Čaleta</w:t>
      </w:r>
    </w:p>
    <w:p>
      <w:pPr>
        <w:spacing w:after="0" w:line="240" w:lineRule="auto"/>
        <w:ind w:left="45" w:firstLine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ist</w:t>
      </w:r>
      <w:r>
        <w:rPr>
          <w:rFonts w:cstheme="minorHAnsi"/>
          <w:sz w:val="21"/>
          <w:szCs w:val="21"/>
        </w:rPr>
        <w:t xml:space="preserve">o</w:t>
      </w:r>
      <w:r>
        <w:rPr>
          <w:rFonts w:cstheme="minorHAnsi"/>
          <w:sz w:val="21"/>
          <w:szCs w:val="21"/>
        </w:rPr>
        <w:t xml:space="preserve">m </w:t>
      </w:r>
      <w:r>
        <w:rPr>
          <w:rFonts w:cstheme="minorHAnsi"/>
          <w:sz w:val="21"/>
          <w:szCs w:val="21"/>
        </w:rPr>
        <w:t xml:space="preserve">zaključen ugovor o radu na </w:t>
      </w:r>
      <w:bookmarkStart w:id="2" w:name="_GoBack"/>
      <w:bookmarkEnd w:id="2"/>
      <w:r>
        <w:rPr>
          <w:rFonts w:cstheme="minorHAnsi"/>
          <w:sz w:val="21"/>
          <w:szCs w:val="21"/>
        </w:rPr>
        <w:t xml:space="preserve">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4</w:t>
      </w:r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213</Words>
  <Characters>1217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3</cp:revision>
  <dcterms:created xsi:type="dcterms:W3CDTF">2025-06-12T08:33:00Z</dcterms:created>
  <dcterms:modified xsi:type="dcterms:W3CDTF">2025-06-12T09:41:00Z</dcterms:modified>
</cp:coreProperties>
</file>