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112-02/25-01/16</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2181-1-266-06-25-9</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2</w:t>
      </w:r>
      <w:r>
        <w:rPr>
          <w:rFonts w:asciiTheme="minorHAnsi" w:hAnsiTheme="minorHAnsi" w:eastAsiaTheme="minorHAnsi" w:cstheme="minorHAnsi"/>
          <w:color w:val="auto"/>
          <w:szCs w:val="24"/>
          <w:lang w:eastAsia="en-US"/>
        </w:rPr>
        <w:t xml:space="preserve">7</w:t>
      </w:r>
      <w:r>
        <w:rPr>
          <w:rFonts w:asciiTheme="minorHAnsi" w:hAnsiTheme="minorHAnsi" w:eastAsiaTheme="minorHAnsi" w:cstheme="minorHAnsi"/>
          <w:color w:val="auto"/>
          <w:szCs w:val="24"/>
          <w:lang w:eastAsia="en-US"/>
        </w:rPr>
        <w:t xml:space="preserve">. </w:t>
      </w:r>
      <w:r>
        <w:rPr>
          <w:rFonts w:asciiTheme="minorHAnsi" w:hAnsiTheme="minorHAnsi" w:eastAsiaTheme="minorHAnsi" w:cstheme="minorHAnsi"/>
          <w:color w:val="auto"/>
          <w:szCs w:val="24"/>
          <w:lang w:eastAsia="en-US"/>
        </w:rPr>
        <w:t xml:space="preserve">listopada</w:t>
      </w:r>
      <w:r>
        <w:rPr>
          <w:rFonts w:asciiTheme="minorHAnsi" w:hAnsiTheme="minorHAnsi" w:eastAsiaTheme="minorHAnsi" w:cstheme="minorHAnsi"/>
          <w:color w:val="auto"/>
          <w:szCs w:val="24"/>
          <w:lang w:eastAsia="en-US"/>
        </w:rPr>
        <w:t xml:space="preserve"> 2025.</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spacing w:after="0" w:line="256" w:lineRule="auto"/>
        <w:jc w:val="center"/>
        <w:rPr>
          <w:rFonts w:asciiTheme="minorHAnsi" w:hAnsiTheme="minorHAnsi" w:cstheme="minorHAnsi"/>
          <w:szCs w:val="24"/>
        </w:rPr>
      </w:pPr>
      <w:r>
        <w:rPr>
          <w:rFonts w:asciiTheme="minorHAnsi" w:hAnsiTheme="minorHAnsi" w:eastAsia="Arial CE" w:cstheme="minorHAnsi"/>
          <w:b/>
          <w:i/>
          <w:szCs w:val="24"/>
        </w:rPr>
        <w:t xml:space="preserve">ODLUKU</w:t>
      </w:r>
    </w:p>
    <w:p>
      <w:pPr>
        <w:spacing w:after="233" w:line="256" w:lineRule="auto"/>
        <w:ind w:right="61"/>
        <w:jc w:val="center"/>
        <w:rPr>
          <w:rFonts w:asciiTheme="minorHAnsi" w:hAnsiTheme="minorHAnsi" w:cstheme="minorHAnsi"/>
          <w:szCs w:val="24"/>
        </w:rPr>
      </w:pPr>
      <w:r>
        <w:rPr>
          <w:rFonts w:asciiTheme="minorHAnsi" w:hAnsiTheme="minorHAnsi" w:eastAsia="Arial CE" w:cstheme="minorHAnsi"/>
          <w:b/>
          <w:i/>
          <w:szCs w:val="24"/>
        </w:rPr>
        <w:t xml:space="preserve">o načinu procjene odnosno testiranja kandidata prijavljenih na natječaj </w:t>
      </w:r>
    </w:p>
    <w:p>
      <w:pPr>
        <w:spacing w:after="0" w:line="256" w:lineRule="auto"/>
        <w:ind w:left="0" w:firstLine="0"/>
        <w:jc w:val="center"/>
        <w:rPr>
          <w:rFonts w:asciiTheme="minorHAnsi" w:hAnsiTheme="minorHAnsi" w:cstheme="minorHAnsi"/>
          <w:szCs w:val="24"/>
        </w:rPr>
      </w:pPr>
      <w:r>
        <w:rPr>
          <w:rFonts w:asciiTheme="minorHAnsi" w:hAnsiTheme="minorHAnsi" w:eastAsia="Arial CE" w:cstheme="minorHAnsi"/>
          <w:szCs w:val="24"/>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17. listopada</w:t>
      </w:r>
      <w:r>
        <w:rPr>
          <w:rFonts w:asciiTheme="minorHAnsi" w:hAnsiTheme="minorHAnsi" w:eastAsia="Calibri" w:cstheme="minorHAnsi"/>
        </w:rPr>
        <w:t xml:space="preserve"> 2025.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Učitelj koji obavlja poslove učitelja informatike – 1 izvršitelj na određeno nepuno (8/40) radno vrijeme</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pismeno iz poznavanja propisa koji se odnose na djelatnost osnovnog obrazovanja i to iz sljedećih propisa:</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Ustav Republike Hrvatske (Narodne novine, broj: 56/90, 135/97, 08/98, 113/00, 124/00, 28/01, 41/01, 55/01, 76/10, 85/10, 05/14)</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Zakon o odgoju i obrazovanju u osnovnoj i srednjoj školi (Narodne novine, broj: 87/08., 86/09., 92/10., 105/10.-ispr, 90/11., 5/12., 16/12., 86/12., 126/12., 94/13., 136/14.-RUSRH, 152/14.,</w:t>
      </w:r>
      <w:r>
        <w:rPr>
          <w:rFonts w:asciiTheme="minorHAnsi" w:hAnsiTheme="minorHAnsi" w:eastAsia="Calibri" w:cstheme="minorHAnsi"/>
          <w:b/>
          <w:color w:val="000000"/>
        </w:rPr>
        <w:t xml:space="preserve"> </w:t>
      </w:r>
      <w:r>
        <w:rPr>
          <w:rFonts w:asciiTheme="minorHAnsi" w:hAnsiTheme="minorHAnsi" w:eastAsia="Calibri" w:cstheme="minorHAnsi"/>
          <w:color w:val="000000"/>
        </w:rPr>
        <w:t xml:space="preserve">7/17., 68/18., 98/19, 64/20, 151/22. i 156/23.)</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Pravilnik o načinima, postupcima i elementima vrednovanja učenika u osnovnoj i srednjoj školi (Narodne novine, broj: 112/10., 82/19., 43/20 i 100/21)</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osnovnoškolskom i srednjoškolskom odgoju i obrazovanju učenika s teškoćama u razvoju (Narodne novine broj: 24/15.)</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kriterijima za izricanje pedagoških mjera (Narodne novine broj: 94/15. i 3/17.)</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odgoju i obrazovanju darovite djece i učenika ( Narodne novine broj: 71/2025. ).</w:t>
      </w: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w:t>
      </w:r>
      <w:bookmarkStart w:id="2" w:name="_GoBack"/>
      <w:bookmarkEnd w:id="2"/>
      <w:r>
        <w:rPr>
          <w:rFonts w:asciiTheme="minorHAnsi" w:hAnsiTheme="minorHAnsi" w:eastAsia="Calibri" w:cstheme="minorHAnsi"/>
          <w:color w:val="000000"/>
        </w:rPr>
        <w:t xml:space="preserve">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spacing w:after="0" w:line="256" w:lineRule="auto"/>
        <w:ind w:left="0" w:firstLine="0"/>
        <w:rPr>
          <w:rFonts w:asciiTheme="minorHAnsi" w:hAnsiTheme="minorHAnsi" w:cstheme="minorHAnsi"/>
          <w:b/>
          <w:i/>
          <w:szCs w:val="24"/>
        </w:rPr>
      </w:pPr>
    </w:p>
    <w:p>
      <w:pPr>
        <w:spacing w:after="0" w:line="256" w:lineRule="auto"/>
        <w:jc w:val="center"/>
        <w:rPr>
          <w:rFonts w:asciiTheme="minorHAnsi" w:hAnsiTheme="minorHAnsi" w:eastAsiaTheme="minorHAnsi" w:cstheme="minorHAnsi"/>
          <w:sz w:val="22"/>
        </w:rPr>
      </w:pPr>
    </w:p>
    <w:p>
      <w:pPr>
        <w:spacing w:after="0" w:line="256" w:lineRule="auto"/>
        <w:jc w:val="center"/>
        <w:rPr>
          <w:rFonts w:asciiTheme="minorHAnsi" w:hAnsiTheme="minorHAnsi" w:eastAsiaTheme="minorHAnsi" w:cstheme="minorHAnsi"/>
          <w:sz w:val="22"/>
        </w:rPr>
      </w:pPr>
      <w:r>
        <w:rPr>
          <w:rFonts w:asciiTheme="minorHAnsi" w:hAnsiTheme="minorHAnsi" w:eastAsiaTheme="minorHAnsi" w:cstheme="minorHAnsi"/>
          <w:sz w:val="22"/>
        </w:rPr>
        <w:t xml:space="preserve">Predsjednica Povjerenstva</w:t>
      </w:r>
    </w:p>
    <w:p>
      <w:pPr>
        <w:spacing w:after="0" w:line="256" w:lineRule="auto"/>
        <w:jc w:val="center"/>
        <w:rPr>
          <w:rFonts w:asciiTheme="minorHAnsi" w:hAnsiTheme="minorHAnsi" w:eastAsiaTheme="minorHAnsi" w:cstheme="minorHAnsi"/>
          <w:sz w:val="22"/>
        </w:rPr>
      </w:pPr>
    </w:p>
    <w:p>
      <w:pPr>
        <w:spacing w:after="0" w:line="256" w:lineRule="auto"/>
        <w:jc w:val="center"/>
        <w:rPr>
          <w:rFonts w:asciiTheme="minorHAnsi" w:hAnsiTheme="minorHAnsi" w:eastAsiaTheme="minorHAnsi" w:cstheme="minorHAnsi"/>
          <w:sz w:val="22"/>
        </w:rPr>
      </w:pPr>
      <w:r>
        <w:rPr>
          <w:rFonts w:asciiTheme="minorHAnsi" w:hAnsiTheme="minorHAnsi" w:eastAsiaTheme="minorHAnsi" w:cstheme="minorHAnsi"/>
          <w:sz w:val="22"/>
        </w:rPr>
        <w:t xml:space="preserve">Snježana Nižetić</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 w:name="Arial CE">
    <w:charset w:val="2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445</Words>
  <Characters>2543</Characters>
  <Application>Microsoft Office Word</Application>
  <DocSecurity>0</DocSecurity>
  <Lines>21</Lines>
  <Paragraphs>5</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2025-10-27T13:01:00Z</dcterms:created>
  <dcterms:modified xsi:type="dcterms:W3CDTF">2025-10-27T13:01:00Z</dcterms:modified>
</cp:coreProperties>
</file>